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2"/>
        <w:rPr>
          <w:rFonts w:ascii="Times New Roman"/>
          <w:sz w:val="23"/>
        </w:rPr>
      </w:pPr>
    </w:p>
    <w:p>
      <w:pPr>
        <w:spacing w:before="89"/>
        <w:ind w:left="360" w:right="0" w:firstLine="0"/>
        <w:jc w:val="left"/>
        <w:rPr>
          <w:b/>
          <w:sz w:val="32"/>
        </w:rPr>
      </w:pPr>
      <w:r>
        <w:rPr/>
        <w:drawing>
          <wp:anchor distT="0" distB="0" distL="0" distR="0" allowOverlap="1" layoutInCell="1" locked="0" behindDoc="0" simplePos="0" relativeHeight="251658240">
            <wp:simplePos x="0" y="0"/>
            <wp:positionH relativeFrom="page">
              <wp:posOffset>5248100</wp:posOffset>
            </wp:positionH>
            <wp:positionV relativeFrom="paragraph">
              <wp:posOffset>-319783</wp:posOffset>
            </wp:positionV>
            <wp:extent cx="1390443" cy="927948"/>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390443" cy="927948"/>
                    </a:xfrm>
                    <a:prstGeom prst="rect">
                      <a:avLst/>
                    </a:prstGeom>
                  </pic:spPr>
                </pic:pic>
              </a:graphicData>
            </a:graphic>
          </wp:anchor>
        </w:drawing>
      </w:r>
      <w:r>
        <w:rPr>
          <w:b/>
          <w:sz w:val="32"/>
          <w:u w:val="thick"/>
        </w:rPr>
        <w:t>Technical Data Sheet</w:t>
      </w:r>
    </w:p>
    <w:p>
      <w:pPr>
        <w:pStyle w:val="Title"/>
        <w:rPr>
          <w:i/>
        </w:rPr>
      </w:pPr>
      <w:r>
        <w:rPr>
          <w:i/>
          <w:color w:val="E36B09"/>
        </w:rPr>
        <w:t>EVT Natural Stone HPM</w:t>
      </w:r>
    </w:p>
    <w:p>
      <w:pPr>
        <w:pStyle w:val="BodyText"/>
        <w:rPr>
          <w:b/>
          <w:i/>
          <w:sz w:val="20"/>
        </w:rPr>
      </w:pPr>
    </w:p>
    <w:p>
      <w:pPr>
        <w:pStyle w:val="BodyText"/>
        <w:rPr>
          <w:b/>
          <w:i/>
          <w:sz w:val="20"/>
        </w:rPr>
      </w:pPr>
    </w:p>
    <w:p>
      <w:pPr>
        <w:pStyle w:val="BodyText"/>
        <w:spacing w:before="10"/>
        <w:rPr>
          <w:b/>
          <w:i/>
          <w:sz w:val="23"/>
        </w:rPr>
      </w:pPr>
    </w:p>
    <w:p>
      <w:pPr>
        <w:tabs>
          <w:tab w:pos="3052" w:val="left" w:leader="none"/>
        </w:tabs>
        <w:spacing w:before="94"/>
        <w:ind w:left="218" w:right="0" w:firstLine="0"/>
        <w:jc w:val="left"/>
        <w:rPr>
          <w:sz w:val="22"/>
        </w:rPr>
      </w:pPr>
      <w:r>
        <w:rPr>
          <w:b/>
          <w:sz w:val="22"/>
          <w:u w:val="thick"/>
        </w:rPr>
        <w:t>Product</w:t>
      </w:r>
      <w:r>
        <w:rPr>
          <w:b/>
          <w:spacing w:val="-1"/>
          <w:sz w:val="22"/>
          <w:u w:val="thick"/>
        </w:rPr>
        <w:t> </w:t>
      </w:r>
      <w:r>
        <w:rPr>
          <w:b/>
          <w:sz w:val="22"/>
          <w:u w:val="thick"/>
        </w:rPr>
        <w:t>description</w:t>
      </w:r>
      <w:r>
        <w:rPr>
          <w:b/>
          <w:sz w:val="22"/>
        </w:rPr>
        <w:tab/>
      </w:r>
      <w:r>
        <w:rPr>
          <w:sz w:val="22"/>
        </w:rPr>
        <w:t>Elastic single-component silicone sealant for indoor</w:t>
      </w:r>
      <w:r>
        <w:rPr>
          <w:spacing w:val="55"/>
          <w:sz w:val="22"/>
        </w:rPr>
        <w:t> </w:t>
      </w:r>
      <w:r>
        <w:rPr>
          <w:sz w:val="22"/>
        </w:rPr>
        <w:t>and</w:t>
      </w:r>
    </w:p>
    <w:p>
      <w:pPr>
        <w:pStyle w:val="BodyText"/>
        <w:spacing w:before="2"/>
        <w:ind w:left="3052"/>
      </w:pPr>
      <w:r>
        <w:rPr/>
        <w:t>outdoor use in contact to marble and natural stone, with 25% maximum movement tolerance</w:t>
      </w:r>
    </w:p>
    <w:p>
      <w:pPr>
        <w:pStyle w:val="BodyText"/>
        <w:rPr>
          <w:sz w:val="24"/>
        </w:rPr>
      </w:pPr>
    </w:p>
    <w:p>
      <w:pPr>
        <w:pStyle w:val="BodyText"/>
        <w:spacing w:before="9"/>
        <w:rPr>
          <w:sz w:val="19"/>
        </w:rPr>
      </w:pPr>
    </w:p>
    <w:p>
      <w:pPr>
        <w:tabs>
          <w:tab w:pos="3052" w:val="left" w:leader="none"/>
        </w:tabs>
        <w:spacing w:before="0"/>
        <w:ind w:left="218" w:right="0" w:firstLine="0"/>
        <w:jc w:val="left"/>
        <w:rPr>
          <w:sz w:val="22"/>
        </w:rPr>
      </w:pPr>
      <w:r>
        <w:rPr>
          <w:b/>
          <w:sz w:val="22"/>
          <w:u w:val="thick"/>
        </w:rPr>
        <w:t>Curing</w:t>
      </w:r>
      <w:r>
        <w:rPr>
          <w:b/>
          <w:spacing w:val="-3"/>
          <w:sz w:val="22"/>
          <w:u w:val="thick"/>
        </w:rPr>
        <w:t> </w:t>
      </w:r>
      <w:r>
        <w:rPr>
          <w:b/>
          <w:sz w:val="22"/>
          <w:u w:val="thick"/>
        </w:rPr>
        <w:t>system</w:t>
      </w:r>
      <w:r>
        <w:rPr>
          <w:b/>
          <w:sz w:val="22"/>
        </w:rPr>
        <w:tab/>
      </w:r>
      <w:r>
        <w:rPr>
          <w:sz w:val="22"/>
        </w:rPr>
        <w:t>neutral curing</w:t>
      </w:r>
    </w:p>
    <w:p>
      <w:pPr>
        <w:pStyle w:val="BodyText"/>
        <w:rPr>
          <w:sz w:val="20"/>
        </w:rPr>
      </w:pPr>
    </w:p>
    <w:p>
      <w:pPr>
        <w:pStyle w:val="BodyText"/>
        <w:rPr>
          <w:sz w:val="20"/>
        </w:rPr>
      </w:pPr>
    </w:p>
    <w:p>
      <w:pPr>
        <w:pStyle w:val="BodyText"/>
        <w:rPr>
          <w:sz w:val="18"/>
        </w:rPr>
      </w:pPr>
    </w:p>
    <w:p>
      <w:pPr>
        <w:pStyle w:val="Heading1"/>
        <w:spacing w:before="93"/>
        <w:rPr>
          <w:u w:val="none"/>
        </w:rPr>
      </w:pPr>
      <w:r>
        <w:rPr>
          <w:u w:val="thick"/>
        </w:rPr>
        <w:t>Special properties</w:t>
      </w:r>
    </w:p>
    <w:p>
      <w:pPr>
        <w:pStyle w:val="ListParagraph"/>
        <w:numPr>
          <w:ilvl w:val="0"/>
          <w:numId w:val="1"/>
        </w:numPr>
        <w:tabs>
          <w:tab w:pos="389" w:val="left" w:leader="none"/>
        </w:tabs>
        <w:spacing w:line="240" w:lineRule="auto" w:before="121" w:after="0"/>
        <w:ind w:left="388" w:right="0" w:hanging="171"/>
        <w:jc w:val="left"/>
        <w:rPr>
          <w:sz w:val="22"/>
        </w:rPr>
      </w:pPr>
      <w:r>
        <w:rPr>
          <w:sz w:val="22"/>
        </w:rPr>
        <w:t>elastic silicone-based sealant</w:t>
      </w:r>
    </w:p>
    <w:p>
      <w:pPr>
        <w:pStyle w:val="ListParagraph"/>
        <w:numPr>
          <w:ilvl w:val="0"/>
          <w:numId w:val="1"/>
        </w:numPr>
        <w:tabs>
          <w:tab w:pos="389" w:val="left" w:leader="none"/>
        </w:tabs>
        <w:spacing w:line="240" w:lineRule="auto" w:before="120" w:after="0"/>
        <w:ind w:left="388" w:right="0" w:hanging="171"/>
        <w:jc w:val="left"/>
        <w:rPr>
          <w:sz w:val="22"/>
        </w:rPr>
      </w:pPr>
      <w:r>
        <w:rPr>
          <w:sz w:val="22"/>
        </w:rPr>
        <w:t>no plasticizer migration on absorbent</w:t>
      </w:r>
      <w:r>
        <w:rPr>
          <w:spacing w:val="2"/>
          <w:sz w:val="22"/>
        </w:rPr>
        <w:t> </w:t>
      </w:r>
      <w:r>
        <w:rPr>
          <w:sz w:val="22"/>
        </w:rPr>
        <w:t>substrates</w:t>
      </w:r>
    </w:p>
    <w:p>
      <w:pPr>
        <w:pStyle w:val="ListParagraph"/>
        <w:numPr>
          <w:ilvl w:val="0"/>
          <w:numId w:val="1"/>
        </w:numPr>
        <w:tabs>
          <w:tab w:pos="389" w:val="left" w:leader="none"/>
        </w:tabs>
        <w:spacing w:line="240" w:lineRule="auto" w:before="117" w:after="0"/>
        <w:ind w:left="388" w:right="0" w:hanging="171"/>
        <w:jc w:val="left"/>
        <w:rPr>
          <w:sz w:val="22"/>
        </w:rPr>
      </w:pPr>
      <w:r>
        <w:rPr>
          <w:sz w:val="22"/>
        </w:rPr>
        <w:t>optimized tooling</w:t>
      </w:r>
      <w:r>
        <w:rPr>
          <w:spacing w:val="-1"/>
          <w:sz w:val="22"/>
        </w:rPr>
        <w:t> </w:t>
      </w:r>
      <w:r>
        <w:rPr>
          <w:sz w:val="22"/>
        </w:rPr>
        <w:t>properties</w:t>
      </w:r>
    </w:p>
    <w:p>
      <w:pPr>
        <w:pStyle w:val="ListParagraph"/>
        <w:numPr>
          <w:ilvl w:val="0"/>
          <w:numId w:val="1"/>
        </w:numPr>
        <w:tabs>
          <w:tab w:pos="389" w:val="left" w:leader="none"/>
        </w:tabs>
        <w:spacing w:line="240" w:lineRule="auto" w:before="119" w:after="0"/>
        <w:ind w:left="388" w:right="0" w:hanging="171"/>
        <w:jc w:val="left"/>
        <w:rPr>
          <w:sz w:val="22"/>
        </w:rPr>
      </w:pPr>
      <w:r>
        <w:rPr>
          <w:sz w:val="22"/>
        </w:rPr>
        <w:t>low odour</w:t>
      </w:r>
      <w:r>
        <w:rPr>
          <w:spacing w:val="-5"/>
          <w:sz w:val="22"/>
        </w:rPr>
        <w:t> </w:t>
      </w:r>
      <w:r>
        <w:rPr>
          <w:sz w:val="22"/>
        </w:rPr>
        <w:t>formulation</w:t>
      </w:r>
    </w:p>
    <w:p>
      <w:pPr>
        <w:pStyle w:val="ListParagraph"/>
        <w:numPr>
          <w:ilvl w:val="0"/>
          <w:numId w:val="1"/>
        </w:numPr>
        <w:tabs>
          <w:tab w:pos="389" w:val="left" w:leader="none"/>
        </w:tabs>
        <w:spacing w:line="240" w:lineRule="auto" w:before="117" w:after="0"/>
        <w:ind w:left="388" w:right="0" w:hanging="171"/>
        <w:jc w:val="left"/>
        <w:rPr>
          <w:sz w:val="22"/>
        </w:rPr>
      </w:pPr>
      <w:r>
        <w:rPr>
          <w:sz w:val="22"/>
        </w:rPr>
        <w:t>ageing and weather-resistant, good UV</w:t>
      </w:r>
      <w:r>
        <w:rPr>
          <w:spacing w:val="-5"/>
          <w:sz w:val="22"/>
        </w:rPr>
        <w:t> </w:t>
      </w:r>
      <w:r>
        <w:rPr>
          <w:sz w:val="22"/>
        </w:rPr>
        <w:t>resistance</w:t>
      </w:r>
    </w:p>
    <w:p>
      <w:pPr>
        <w:pStyle w:val="ListParagraph"/>
        <w:numPr>
          <w:ilvl w:val="0"/>
          <w:numId w:val="1"/>
        </w:numPr>
        <w:tabs>
          <w:tab w:pos="389" w:val="left" w:leader="none"/>
        </w:tabs>
        <w:spacing w:line="240" w:lineRule="auto" w:before="119" w:after="0"/>
        <w:ind w:left="388" w:right="0" w:hanging="171"/>
        <w:jc w:val="left"/>
        <w:rPr>
          <w:sz w:val="22"/>
        </w:rPr>
      </w:pPr>
      <w:r>
        <w:rPr>
          <w:sz w:val="22"/>
        </w:rPr>
        <w:t>compatible with</w:t>
      </w:r>
      <w:r>
        <w:rPr>
          <w:spacing w:val="-1"/>
          <w:sz w:val="22"/>
        </w:rPr>
        <w:t> </w:t>
      </w:r>
      <w:r>
        <w:rPr>
          <w:sz w:val="22"/>
        </w:rPr>
        <w:t>paints</w:t>
      </w:r>
    </w:p>
    <w:p>
      <w:pPr>
        <w:pStyle w:val="ListParagraph"/>
        <w:numPr>
          <w:ilvl w:val="0"/>
          <w:numId w:val="1"/>
        </w:numPr>
        <w:tabs>
          <w:tab w:pos="389" w:val="left" w:leader="none"/>
        </w:tabs>
        <w:spacing w:line="240" w:lineRule="auto" w:before="119" w:after="0"/>
        <w:ind w:left="388" w:right="0" w:hanging="171"/>
        <w:jc w:val="left"/>
        <w:rPr>
          <w:sz w:val="22"/>
        </w:rPr>
      </w:pPr>
      <w:r>
        <w:rPr>
          <w:sz w:val="22"/>
        </w:rPr>
        <w:t>good adhesion also on metals, compatible with</w:t>
      </w:r>
      <w:r>
        <w:rPr>
          <w:spacing w:val="-8"/>
          <w:sz w:val="22"/>
        </w:rPr>
        <w:t> </w:t>
      </w:r>
      <w:r>
        <w:rPr>
          <w:sz w:val="22"/>
        </w:rPr>
        <w:t>copper</w:t>
      </w:r>
    </w:p>
    <w:p>
      <w:pPr>
        <w:pStyle w:val="ListParagraph"/>
        <w:numPr>
          <w:ilvl w:val="0"/>
          <w:numId w:val="1"/>
        </w:numPr>
        <w:tabs>
          <w:tab w:pos="389" w:val="left" w:leader="none"/>
        </w:tabs>
        <w:spacing w:line="240" w:lineRule="auto" w:before="117" w:after="0"/>
        <w:ind w:left="388" w:right="0" w:hanging="171"/>
        <w:jc w:val="left"/>
        <w:rPr>
          <w:sz w:val="22"/>
        </w:rPr>
      </w:pPr>
      <w:r>
        <w:rPr>
          <w:sz w:val="22"/>
        </w:rPr>
        <w:t>with</w:t>
      </w:r>
      <w:r>
        <w:rPr>
          <w:spacing w:val="-2"/>
          <w:sz w:val="22"/>
        </w:rPr>
        <w:t> </w:t>
      </w:r>
      <w:r>
        <w:rPr>
          <w:sz w:val="22"/>
        </w:rPr>
        <w:t>fungicide</w:t>
      </w:r>
    </w:p>
    <w:p>
      <w:pPr>
        <w:pStyle w:val="BodyText"/>
        <w:rPr>
          <w:sz w:val="26"/>
        </w:rPr>
      </w:pPr>
    </w:p>
    <w:p>
      <w:pPr>
        <w:pStyle w:val="BodyText"/>
        <w:spacing w:before="3"/>
        <w:rPr>
          <w:sz w:val="28"/>
        </w:rPr>
      </w:pPr>
    </w:p>
    <w:p>
      <w:pPr>
        <w:pStyle w:val="Heading1"/>
        <w:rPr>
          <w:u w:val="none"/>
        </w:rPr>
      </w:pPr>
      <w:r>
        <w:rPr>
          <w:u w:val="thick"/>
        </w:rPr>
        <w:t>Fields of application</w:t>
      </w:r>
    </w:p>
    <w:p>
      <w:pPr>
        <w:pStyle w:val="BodyText"/>
        <w:spacing w:before="61"/>
        <w:ind w:left="218"/>
      </w:pPr>
      <w:r>
        <w:rPr/>
        <w:t>For sealing joints and connecting joints in contact to marble and natural stone.</w:t>
      </w:r>
    </w:p>
    <w:p>
      <w:pPr>
        <w:pStyle w:val="BodyText"/>
        <w:spacing w:before="59"/>
        <w:ind w:left="218" w:right="119"/>
      </w:pPr>
      <w:r>
        <w:rPr/>
        <w:t>EVT Natural Stone HPM must not be used in aquarium construction, as mirror adhesive and in areas with direct food contact.</w:t>
      </w:r>
    </w:p>
    <w:p>
      <w:pPr>
        <w:pStyle w:val="BodyText"/>
        <w:spacing w:before="61"/>
        <w:ind w:left="218" w:right="147"/>
        <w:jc w:val="both"/>
      </w:pPr>
      <w:r>
        <w:rPr/>
        <w:t>In underwater applications, especially accurate tooling is necessary (preparation of  substrate; often primer necessary). Underwater joints must be checked in suitable time intervals and have to be reworked if</w:t>
      </w:r>
      <w:r>
        <w:rPr>
          <w:spacing w:val="-3"/>
        </w:rPr>
        <w:t> </w:t>
      </w:r>
      <w:r>
        <w:rPr/>
        <w:t>necessary.</w:t>
      </w:r>
    </w:p>
    <w:p>
      <w:pPr>
        <w:pStyle w:val="BodyText"/>
        <w:spacing w:before="59"/>
        <w:ind w:left="218"/>
        <w:jc w:val="both"/>
      </w:pPr>
      <w:r>
        <w:rPr/>
        <w:t>Not suited for plastics with in general poor adhesion to silicones (eg PE, PP, PET).</w:t>
      </w:r>
    </w:p>
    <w:p>
      <w:pPr>
        <w:pStyle w:val="BodyText"/>
        <w:rPr>
          <w:sz w:val="24"/>
        </w:rPr>
      </w:pPr>
    </w:p>
    <w:p>
      <w:pPr>
        <w:pStyle w:val="BodyText"/>
        <w:spacing w:before="2"/>
        <w:rPr>
          <w:sz w:val="25"/>
        </w:rPr>
      </w:pPr>
    </w:p>
    <w:p>
      <w:pPr>
        <w:pStyle w:val="Heading1"/>
        <w:rPr>
          <w:u w:val="none"/>
        </w:rPr>
      </w:pPr>
      <w:r>
        <w:rPr>
          <w:u w:val="thick"/>
        </w:rPr>
        <w:t>Yield</w:t>
      </w:r>
    </w:p>
    <w:p>
      <w:pPr>
        <w:pStyle w:val="BodyText"/>
        <w:spacing w:before="2"/>
        <w:ind w:left="218"/>
      </w:pPr>
      <w:r>
        <w:rPr/>
        <w:t>Meters of joint per 310 ml cartridge for the following joint dimensions:</w:t>
      </w:r>
    </w:p>
    <w:p>
      <w:pPr>
        <w:pStyle w:val="BodyText"/>
      </w:pPr>
    </w:p>
    <w:p>
      <w:pPr>
        <w:pStyle w:val="BodyText"/>
        <w:tabs>
          <w:tab w:pos="2485" w:val="left" w:leader="dot"/>
        </w:tabs>
        <w:spacing w:line="252" w:lineRule="exact"/>
        <w:ind w:left="218"/>
        <w:jc w:val="both"/>
      </w:pPr>
      <w:r>
        <w:rPr/>
        <w:t>5 x</w:t>
      </w:r>
      <w:r>
        <w:rPr>
          <w:spacing w:val="-2"/>
        </w:rPr>
        <w:t> </w:t>
      </w:r>
      <w:r>
        <w:rPr/>
        <w:t>5 mm</w:t>
        <w:tab/>
        <w:t>approx. 12.0 m</w:t>
      </w:r>
    </w:p>
    <w:p>
      <w:pPr>
        <w:pStyle w:val="BodyText"/>
        <w:spacing w:line="252" w:lineRule="exact"/>
        <w:ind w:left="218"/>
        <w:jc w:val="both"/>
      </w:pPr>
      <w:r>
        <w:rPr/>
        <w:t>10 x 10 mm ................approx. 3.0 m</w:t>
      </w:r>
    </w:p>
    <w:p>
      <w:pPr>
        <w:pStyle w:val="BodyText"/>
        <w:rPr>
          <w:sz w:val="24"/>
        </w:rPr>
      </w:pPr>
    </w:p>
    <w:p>
      <w:pPr>
        <w:pStyle w:val="BodyText"/>
        <w:spacing w:before="8"/>
        <w:rPr>
          <w:sz w:val="19"/>
        </w:rPr>
      </w:pPr>
    </w:p>
    <w:p>
      <w:pPr>
        <w:pStyle w:val="Heading1"/>
        <w:spacing w:before="1"/>
        <w:rPr>
          <w:u w:val="none"/>
        </w:rPr>
      </w:pPr>
      <w:r>
        <w:rPr>
          <w:u w:val="thick"/>
        </w:rPr>
        <w:t>Colours and packaging</w:t>
      </w:r>
    </w:p>
    <w:p>
      <w:pPr>
        <w:pStyle w:val="BodyText"/>
        <w:tabs>
          <w:tab w:pos="2203" w:val="left" w:leader="none"/>
        </w:tabs>
        <w:spacing w:before="123"/>
        <w:ind w:left="218"/>
      </w:pPr>
      <w:r>
        <w:rPr/>
        <w:t>Standard</w:t>
      </w:r>
      <w:r>
        <w:rPr>
          <w:spacing w:val="-3"/>
        </w:rPr>
        <w:t> </w:t>
      </w:r>
      <w:r>
        <w:rPr/>
        <w:t>colours:</w:t>
        <w:tab/>
        <w:t>transparent, white (other colors available on</w:t>
      </w:r>
      <w:r>
        <w:rPr>
          <w:spacing w:val="-5"/>
        </w:rPr>
        <w:t> </w:t>
      </w:r>
      <w:r>
        <w:rPr/>
        <w:t>request)</w:t>
      </w:r>
    </w:p>
    <w:p>
      <w:pPr>
        <w:pStyle w:val="BodyText"/>
        <w:tabs>
          <w:tab w:pos="2203" w:val="left" w:leader="none"/>
        </w:tabs>
        <w:spacing w:before="119"/>
        <w:ind w:left="2203" w:right="593" w:hanging="1985"/>
      </w:pPr>
      <w:r>
        <w:rPr/>
        <w:t>Packaging:</w:t>
        <w:tab/>
        <w:t>310 ml cartridges; 400 ml and 600 ml film bags; other package sizes available on</w:t>
      </w:r>
      <w:r>
        <w:rPr>
          <w:spacing w:val="-1"/>
        </w:rPr>
        <w:t> </w:t>
      </w:r>
      <w:r>
        <w:rPr/>
        <w:t>request</w:t>
      </w:r>
    </w:p>
    <w:p>
      <w:pPr>
        <w:spacing w:after="0"/>
        <w:sectPr>
          <w:footerReference w:type="default" r:id="rId5"/>
          <w:type w:val="continuous"/>
          <w:pgSz w:w="11900" w:h="16840"/>
          <w:pgMar w:footer="769" w:top="540" w:bottom="960" w:left="1200" w:right="1260"/>
          <w:pgNumType w:start="1"/>
        </w:sectPr>
      </w:pPr>
    </w:p>
    <w:p>
      <w:pPr>
        <w:pStyle w:val="Heading1"/>
        <w:spacing w:before="68"/>
        <w:jc w:val="both"/>
        <w:rPr>
          <w:u w:val="none"/>
        </w:rPr>
      </w:pPr>
      <w:r>
        <w:rPr>
          <w:u w:val="thick"/>
        </w:rPr>
        <w:t>Usage instructions</w:t>
      </w:r>
    </w:p>
    <w:p>
      <w:pPr>
        <w:pStyle w:val="BodyText"/>
        <w:spacing w:before="124"/>
        <w:ind w:left="218"/>
        <w:jc w:val="both"/>
      </w:pPr>
      <w:r>
        <w:rPr>
          <w:u w:val="single"/>
        </w:rPr>
        <w:t>Substrate pretreatment</w:t>
      </w:r>
    </w:p>
    <w:p>
      <w:pPr>
        <w:pStyle w:val="BodyText"/>
        <w:spacing w:before="59"/>
        <w:ind w:left="218" w:right="148"/>
        <w:jc w:val="both"/>
      </w:pPr>
      <w:r>
        <w:rPr/>
        <w:t>The substrate must be dry, firm, and free of dust and grease (clean with isopropanol, if necessary). Porous substrates (e.g. concrete, plasterboard and untreated wood) must be primed. Before primer application, remove any cement slurry, mold release agents or impregnations. In renovation projects, old sealant, remains of paint and loose material must be fully removed. On coated substrates (paints, lacquers), compatibility to the sealant must be</w:t>
      </w:r>
      <w:r>
        <w:rPr>
          <w:spacing w:val="-1"/>
        </w:rPr>
        <w:t> </w:t>
      </w:r>
      <w:r>
        <w:rPr/>
        <w:t>tested.</w:t>
      </w:r>
    </w:p>
    <w:p>
      <w:pPr>
        <w:pStyle w:val="BodyText"/>
        <w:spacing w:before="61"/>
        <w:ind w:left="218" w:right="146"/>
        <w:jc w:val="both"/>
      </w:pPr>
      <w:r>
        <w:rPr/>
        <w:t>The joint must always be provided with a suitable, correctly dimensioned joint backing (e.g. PE cord, rock wool) to prevent adhesion on three faces. To avoid contamination and to achieve a precise joint, we recommend masking the joint edges with adhesive tape before primer application and filling - especially when working with marble / natural stone.</w:t>
      </w:r>
    </w:p>
    <w:p>
      <w:pPr>
        <w:pStyle w:val="BodyText"/>
      </w:pPr>
    </w:p>
    <w:p>
      <w:pPr>
        <w:pStyle w:val="BodyText"/>
        <w:ind w:left="218"/>
        <w:jc w:val="both"/>
      </w:pPr>
      <w:r>
        <w:rPr>
          <w:u w:val="single"/>
        </w:rPr>
        <w:t>Joint dimensions</w:t>
      </w:r>
    </w:p>
    <w:p>
      <w:pPr>
        <w:pStyle w:val="BodyText"/>
        <w:spacing w:before="59"/>
        <w:ind w:left="218" w:right="146"/>
        <w:jc w:val="both"/>
      </w:pPr>
      <w:r>
        <w:rPr/>
        <w:t>Joint dimensions should be at least 5 x 5 mm for indoor and 10 x 8 mm (width x depth) for outdoor applications. With increasing joint width (up to 30 mm), joint depth should be roughly half the joint width. Make sure that triangular bevels have uniform sides of equal length with at least 7 mm bonding surface on each</w:t>
      </w:r>
      <w:r>
        <w:rPr>
          <w:spacing w:val="-3"/>
        </w:rPr>
        <w:t> </w:t>
      </w:r>
      <w:r>
        <w:rPr/>
        <w:t>side.</w:t>
      </w:r>
    </w:p>
    <w:p>
      <w:pPr>
        <w:pStyle w:val="BodyText"/>
        <w:spacing w:before="183"/>
        <w:ind w:left="218"/>
      </w:pPr>
      <w:r>
        <w:rPr>
          <w:u w:val="single"/>
        </w:rPr>
        <w:t>Tooling</w:t>
      </w:r>
    </w:p>
    <w:p>
      <w:pPr>
        <w:pStyle w:val="BodyText"/>
        <w:spacing w:before="62"/>
        <w:ind w:left="218" w:right="144"/>
        <w:jc w:val="both"/>
      </w:pPr>
      <w:r>
        <w:rPr/>
        <w:t>After applying the sealant with a suitable manual, battery-powered or pneumatic caulking gun, the sealant can be smoothed in the joint with water or with a neutral, non-staining water- based smoothing agent and a suitable tool (e.g. jointing trowel). Smoothing is not only recommended for optical reasons, but also establishes close contact and good adhesion to the substrate. Remove excess smoothing agent (risk of schlieren). Any adhesive tape used should be removed immediately after smoothing. </w:t>
      </w:r>
      <w:r>
        <w:rPr>
          <w:spacing w:val="3"/>
        </w:rPr>
        <w:t>We </w:t>
      </w:r>
      <w:r>
        <w:rPr/>
        <w:t>recommend the FS caulking gun and FS jointing</w:t>
      </w:r>
      <w:r>
        <w:rPr>
          <w:spacing w:val="-1"/>
        </w:rPr>
        <w:t> </w:t>
      </w:r>
      <w:r>
        <w:rPr/>
        <w:t>trowel.</w:t>
      </w:r>
    </w:p>
    <w:p>
      <w:pPr>
        <w:pStyle w:val="BodyText"/>
        <w:rPr>
          <w:sz w:val="24"/>
        </w:rPr>
      </w:pPr>
    </w:p>
    <w:p>
      <w:pPr>
        <w:pStyle w:val="BodyText"/>
        <w:spacing w:before="9"/>
        <w:rPr>
          <w:sz w:val="19"/>
        </w:rPr>
      </w:pPr>
    </w:p>
    <w:p>
      <w:pPr>
        <w:pStyle w:val="Heading1"/>
        <w:jc w:val="both"/>
        <w:rPr>
          <w:u w:val="none"/>
        </w:rPr>
      </w:pPr>
      <w:r>
        <w:rPr>
          <w:u w:val="thick"/>
        </w:rPr>
        <w:t>Important remarks</w:t>
      </w:r>
    </w:p>
    <w:p>
      <w:pPr>
        <w:pStyle w:val="BodyText"/>
        <w:spacing w:before="62"/>
        <w:ind w:left="218" w:right="146"/>
        <w:jc w:val="both"/>
      </w:pPr>
      <w:r>
        <w:rPr/>
        <w:t>The function of the sealant can only be guaranteed if correctly applied in accordance with the technical recommendations given in this data sheet and in related standards. Sealant application in situations with strongly fluctuating temperatures (premature stressing of the sealant) must be avoided.</w:t>
      </w:r>
    </w:p>
    <w:p>
      <w:pPr>
        <w:pStyle w:val="BodyText"/>
        <w:spacing w:before="61"/>
        <w:ind w:left="218" w:right="148"/>
        <w:jc w:val="both"/>
      </w:pPr>
      <w:r>
        <w:rPr/>
        <w:t>The sealant is compatible with many paints and lacquers. Owing to the large number of different coating systems on the market, own tests concerning adhesion and compatibility have to be performed prior to application. For example, it is known that alkyd resin based paints may give discolouration in combination with neutral curing silicones. The sealant is not overpaintable,</w:t>
      </w:r>
    </w:p>
    <w:p>
      <w:pPr>
        <w:pStyle w:val="BodyText"/>
        <w:spacing w:before="60"/>
        <w:ind w:left="218" w:right="147"/>
        <w:jc w:val="both"/>
      </w:pPr>
      <w:r>
        <w:rPr/>
        <w:t>Especially on powder-coated substrates, adhesion has to be tested carefully, since it can be affected negatively depending on the coating used (may even vary for different colours of the same brand of powder coating).</w:t>
      </w:r>
    </w:p>
    <w:p>
      <w:pPr>
        <w:pStyle w:val="BodyText"/>
        <w:spacing w:before="59"/>
        <w:ind w:left="218" w:right="148"/>
        <w:jc w:val="both"/>
      </w:pPr>
      <w:r>
        <w:rPr/>
        <w:t>In contact with bituminous, tar- or plasticizer-releasing substrates (eg EPDM, neoprene, butyl), discolouration and/or loss of adhesion may occur.</w:t>
      </w:r>
    </w:p>
    <w:p>
      <w:pPr>
        <w:pStyle w:val="BodyText"/>
        <w:spacing w:before="61"/>
        <w:ind w:left="218" w:right="146"/>
        <w:jc w:val="both"/>
      </w:pPr>
      <w:r>
        <w:rPr/>
        <w:t>Good ventilation must be provided during application and curing to allow curing by-products to evaporate. Low temperatures, low humidities and joint depths above 15 mm can retard skin formation and curing</w:t>
      </w:r>
      <w:r>
        <w:rPr>
          <w:spacing w:val="-7"/>
        </w:rPr>
        <w:t> </w:t>
      </w:r>
      <w:r>
        <w:rPr/>
        <w:t>significantly.</w:t>
      </w:r>
    </w:p>
    <w:p>
      <w:pPr>
        <w:pStyle w:val="BodyText"/>
        <w:spacing w:before="59"/>
        <w:ind w:left="218" w:right="147"/>
        <w:jc w:val="both"/>
      </w:pPr>
      <w:r>
        <w:rPr/>
        <w:t>Exposure to liquid (eg acid-based cleaning agents, strongly colored liquids) or gaseous chemicals (eg. tobacco smoke) for longer periods can result in discoloration of the product, especially for light colors (white). In general, the mechanical properties of the sealant are not adversely affected.</w:t>
      </w:r>
    </w:p>
    <w:p>
      <w:pPr>
        <w:pStyle w:val="BodyText"/>
        <w:spacing w:before="61"/>
        <w:ind w:left="218" w:right="148"/>
        <w:jc w:val="both"/>
      </w:pPr>
      <w:r>
        <w:rPr/>
        <w:t>Products with fungicide give additional protection against mould to the joint. But, they can not supersede good housekeeping: It’s essential to keep the joint clean, dry and free from substances, that may serve as nutrition medium (eg soap residues, skin scales).</w:t>
      </w:r>
    </w:p>
    <w:p>
      <w:pPr>
        <w:spacing w:after="0"/>
        <w:jc w:val="both"/>
        <w:sectPr>
          <w:pgSz w:w="11900" w:h="16840"/>
          <w:pgMar w:header="0" w:footer="769" w:top="1060" w:bottom="960" w:left="1200" w:right="1260"/>
        </w:sectPr>
      </w:pPr>
    </w:p>
    <w:p>
      <w:pPr>
        <w:pStyle w:val="Heading1"/>
        <w:spacing w:before="82"/>
        <w:rPr>
          <w:u w:val="none"/>
        </w:rPr>
      </w:pPr>
      <w:r>
        <w:rPr>
          <w:u w:val="thick"/>
        </w:rPr>
        <w:t>Technical Data</w:t>
      </w:r>
    </w:p>
    <w:p>
      <w:pPr>
        <w:pStyle w:val="BodyText"/>
        <w:rPr>
          <w:b/>
          <w:sz w:val="20"/>
        </w:rPr>
      </w:pPr>
    </w:p>
    <w:p>
      <w:pPr>
        <w:pStyle w:val="BodyText"/>
        <w:spacing w:before="4"/>
        <w:rPr>
          <w:b/>
          <w:sz w:val="24"/>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6"/>
        <w:gridCol w:w="4606"/>
      </w:tblGrid>
      <w:tr>
        <w:trPr>
          <w:trHeight w:val="309" w:hRule="atLeast"/>
        </w:trPr>
        <w:tc>
          <w:tcPr>
            <w:tcW w:w="4606" w:type="dxa"/>
          </w:tcPr>
          <w:p>
            <w:pPr>
              <w:pStyle w:val="TableParagraph"/>
              <w:rPr>
                <w:sz w:val="16"/>
              </w:rPr>
            </w:pPr>
            <w:r>
              <w:rPr>
                <w:sz w:val="20"/>
              </w:rPr>
              <w:t>Density </w:t>
            </w:r>
            <w:r>
              <w:rPr>
                <w:sz w:val="16"/>
              </w:rPr>
              <w:t>(DIN EN ISO 2811-1)</w:t>
            </w:r>
          </w:p>
        </w:tc>
        <w:tc>
          <w:tcPr>
            <w:tcW w:w="4606" w:type="dxa"/>
          </w:tcPr>
          <w:p>
            <w:pPr>
              <w:pStyle w:val="TableParagraph"/>
              <w:rPr>
                <w:sz w:val="20"/>
              </w:rPr>
            </w:pPr>
            <w:r>
              <w:rPr>
                <w:sz w:val="20"/>
              </w:rPr>
              <w:t>1,03 ± 0,03 g/cm³</w:t>
            </w:r>
          </w:p>
        </w:tc>
      </w:tr>
      <w:tr>
        <w:trPr>
          <w:trHeight w:val="311" w:hRule="atLeast"/>
        </w:trPr>
        <w:tc>
          <w:tcPr>
            <w:tcW w:w="4606" w:type="dxa"/>
            <w:shd w:val="clear" w:color="auto" w:fill="E5E5E5"/>
          </w:tcPr>
          <w:p>
            <w:pPr>
              <w:pStyle w:val="TableParagraph"/>
              <w:spacing w:before="40"/>
              <w:rPr>
                <w:sz w:val="16"/>
              </w:rPr>
            </w:pPr>
            <w:r>
              <w:rPr>
                <w:sz w:val="20"/>
              </w:rPr>
              <w:t>Skin forming time </w:t>
            </w:r>
            <w:r>
              <w:rPr>
                <w:sz w:val="16"/>
              </w:rPr>
              <w:t>(23°C/50% r.F)</w:t>
            </w:r>
          </w:p>
        </w:tc>
        <w:tc>
          <w:tcPr>
            <w:tcW w:w="4606" w:type="dxa"/>
            <w:shd w:val="clear" w:color="auto" w:fill="E5E5E5"/>
          </w:tcPr>
          <w:p>
            <w:pPr>
              <w:pStyle w:val="TableParagraph"/>
              <w:spacing w:before="40"/>
              <w:rPr>
                <w:sz w:val="20"/>
              </w:rPr>
            </w:pPr>
            <w:r>
              <w:rPr>
                <w:sz w:val="20"/>
              </w:rPr>
              <w:t>app. 15 min</w:t>
            </w:r>
          </w:p>
        </w:tc>
      </w:tr>
      <w:tr>
        <w:trPr>
          <w:trHeight w:val="309" w:hRule="atLeast"/>
        </w:trPr>
        <w:tc>
          <w:tcPr>
            <w:tcW w:w="4606" w:type="dxa"/>
          </w:tcPr>
          <w:p>
            <w:pPr>
              <w:pStyle w:val="TableParagraph"/>
              <w:rPr>
                <w:sz w:val="16"/>
              </w:rPr>
            </w:pPr>
            <w:r>
              <w:rPr>
                <w:sz w:val="20"/>
              </w:rPr>
              <w:t>Penetration </w:t>
            </w:r>
            <w:r>
              <w:rPr>
                <w:sz w:val="16"/>
              </w:rPr>
              <w:t>(DIN 51579 / 5 sec.)</w:t>
            </w:r>
          </w:p>
        </w:tc>
        <w:tc>
          <w:tcPr>
            <w:tcW w:w="4606" w:type="dxa"/>
          </w:tcPr>
          <w:p>
            <w:pPr>
              <w:pStyle w:val="TableParagraph"/>
              <w:rPr>
                <w:sz w:val="20"/>
              </w:rPr>
            </w:pPr>
            <w:r>
              <w:rPr>
                <w:sz w:val="20"/>
              </w:rPr>
              <w:t>145 ± 30 1/10 mm</w:t>
            </w:r>
          </w:p>
        </w:tc>
      </w:tr>
      <w:tr>
        <w:trPr>
          <w:trHeight w:val="325" w:hRule="atLeast"/>
        </w:trPr>
        <w:tc>
          <w:tcPr>
            <w:tcW w:w="4606" w:type="dxa"/>
            <w:shd w:val="clear" w:color="auto" w:fill="E5E5E5"/>
          </w:tcPr>
          <w:p>
            <w:pPr>
              <w:pStyle w:val="TableParagraph"/>
              <w:rPr>
                <w:sz w:val="16"/>
              </w:rPr>
            </w:pPr>
            <w:r>
              <w:rPr>
                <w:sz w:val="20"/>
              </w:rPr>
              <w:t>Slump </w:t>
            </w:r>
            <w:r>
              <w:rPr>
                <w:sz w:val="16"/>
              </w:rPr>
              <w:t>(ISO 7390)</w:t>
            </w:r>
          </w:p>
        </w:tc>
        <w:tc>
          <w:tcPr>
            <w:tcW w:w="4606" w:type="dxa"/>
            <w:shd w:val="clear" w:color="auto" w:fill="E5E5E5"/>
          </w:tcPr>
          <w:p>
            <w:pPr>
              <w:pStyle w:val="TableParagraph"/>
              <w:rPr>
                <w:sz w:val="20"/>
              </w:rPr>
            </w:pPr>
            <w:r>
              <w:rPr>
                <w:rFonts w:ascii="Symbol" w:hAnsi="Symbol"/>
                <w:sz w:val="20"/>
              </w:rPr>
              <w:t></w:t>
            </w:r>
            <w:r>
              <w:rPr>
                <w:rFonts w:ascii="Times New Roman" w:hAnsi="Times New Roman"/>
                <w:sz w:val="20"/>
              </w:rPr>
              <w:t> </w:t>
            </w:r>
            <w:r>
              <w:rPr>
                <w:sz w:val="20"/>
              </w:rPr>
              <w:t>2 mm</w:t>
            </w:r>
          </w:p>
        </w:tc>
      </w:tr>
      <w:tr>
        <w:trPr>
          <w:trHeight w:val="309" w:hRule="atLeast"/>
        </w:trPr>
        <w:tc>
          <w:tcPr>
            <w:tcW w:w="4606" w:type="dxa"/>
          </w:tcPr>
          <w:p>
            <w:pPr>
              <w:pStyle w:val="TableParagraph"/>
              <w:rPr>
                <w:sz w:val="16"/>
              </w:rPr>
            </w:pPr>
            <w:r>
              <w:rPr>
                <w:sz w:val="20"/>
              </w:rPr>
              <w:t>Cure rate </w:t>
            </w:r>
            <w:r>
              <w:rPr>
                <w:sz w:val="16"/>
              </w:rPr>
              <w:t>(within first 24 hours)</w:t>
            </w:r>
          </w:p>
        </w:tc>
        <w:tc>
          <w:tcPr>
            <w:tcW w:w="4606" w:type="dxa"/>
          </w:tcPr>
          <w:p>
            <w:pPr>
              <w:pStyle w:val="TableParagraph"/>
              <w:rPr>
                <w:sz w:val="20"/>
              </w:rPr>
            </w:pPr>
            <w:r>
              <w:rPr>
                <w:sz w:val="20"/>
              </w:rPr>
              <w:t>app. 3</w:t>
            </w:r>
            <w:r>
              <w:rPr>
                <w:spacing w:val="54"/>
                <w:sz w:val="20"/>
              </w:rPr>
              <w:t> </w:t>
            </w:r>
            <w:r>
              <w:rPr>
                <w:sz w:val="20"/>
              </w:rPr>
              <w:t>mm</w:t>
            </w:r>
          </w:p>
        </w:tc>
      </w:tr>
      <w:tr>
        <w:trPr>
          <w:trHeight w:val="309" w:hRule="atLeast"/>
        </w:trPr>
        <w:tc>
          <w:tcPr>
            <w:tcW w:w="4606" w:type="dxa"/>
            <w:shd w:val="clear" w:color="auto" w:fill="E5E5E5"/>
          </w:tcPr>
          <w:p>
            <w:pPr>
              <w:pStyle w:val="TableParagraph"/>
              <w:rPr>
                <w:sz w:val="16"/>
              </w:rPr>
            </w:pPr>
            <w:r>
              <w:rPr>
                <w:sz w:val="20"/>
              </w:rPr>
              <w:t>Shore A hardness </w:t>
            </w:r>
            <w:r>
              <w:rPr>
                <w:sz w:val="16"/>
              </w:rPr>
              <w:t>(DIN 53505)</w:t>
            </w:r>
          </w:p>
        </w:tc>
        <w:tc>
          <w:tcPr>
            <w:tcW w:w="4606" w:type="dxa"/>
            <w:shd w:val="clear" w:color="auto" w:fill="E5E5E5"/>
          </w:tcPr>
          <w:p>
            <w:pPr>
              <w:pStyle w:val="TableParagraph"/>
              <w:rPr>
                <w:sz w:val="20"/>
              </w:rPr>
            </w:pPr>
            <w:r>
              <w:rPr>
                <w:sz w:val="20"/>
              </w:rPr>
              <w:t>20 ± 5 units</w:t>
            </w:r>
          </w:p>
        </w:tc>
      </w:tr>
      <w:tr>
        <w:trPr>
          <w:trHeight w:val="311" w:hRule="atLeast"/>
        </w:trPr>
        <w:tc>
          <w:tcPr>
            <w:tcW w:w="4606" w:type="dxa"/>
          </w:tcPr>
          <w:p>
            <w:pPr>
              <w:pStyle w:val="TableParagraph"/>
              <w:spacing w:before="40"/>
              <w:rPr>
                <w:sz w:val="16"/>
              </w:rPr>
            </w:pPr>
            <w:r>
              <w:rPr>
                <w:sz w:val="20"/>
              </w:rPr>
              <w:t>Tensile strength </w:t>
            </w:r>
            <w:r>
              <w:rPr>
                <w:sz w:val="16"/>
              </w:rPr>
              <w:t>( ISO 8339-A, 100%)</w:t>
            </w:r>
          </w:p>
        </w:tc>
        <w:tc>
          <w:tcPr>
            <w:tcW w:w="4606" w:type="dxa"/>
          </w:tcPr>
          <w:p>
            <w:pPr>
              <w:pStyle w:val="TableParagraph"/>
              <w:spacing w:before="40"/>
              <w:rPr>
                <w:sz w:val="20"/>
              </w:rPr>
            </w:pPr>
            <w:r>
              <w:rPr>
                <w:sz w:val="20"/>
              </w:rPr>
              <w:t>app. 0,55 N/mm²</w:t>
            </w:r>
          </w:p>
        </w:tc>
      </w:tr>
      <w:tr>
        <w:trPr>
          <w:trHeight w:val="309" w:hRule="atLeast"/>
        </w:trPr>
        <w:tc>
          <w:tcPr>
            <w:tcW w:w="4606" w:type="dxa"/>
            <w:shd w:val="clear" w:color="auto" w:fill="E5E5E5"/>
          </w:tcPr>
          <w:p>
            <w:pPr>
              <w:pStyle w:val="TableParagraph"/>
              <w:rPr>
                <w:sz w:val="20"/>
              </w:rPr>
            </w:pPr>
            <w:r>
              <w:rPr>
                <w:sz w:val="20"/>
              </w:rPr>
              <w:t>Maximum movement tolerance</w:t>
            </w:r>
          </w:p>
        </w:tc>
        <w:tc>
          <w:tcPr>
            <w:tcW w:w="4606" w:type="dxa"/>
            <w:shd w:val="clear" w:color="auto" w:fill="E5E5E5"/>
          </w:tcPr>
          <w:p>
            <w:pPr>
              <w:pStyle w:val="TableParagraph"/>
              <w:rPr>
                <w:sz w:val="20"/>
              </w:rPr>
            </w:pPr>
            <w:r>
              <w:rPr>
                <w:sz w:val="20"/>
              </w:rPr>
              <w:t>25 %</w:t>
            </w:r>
          </w:p>
        </w:tc>
      </w:tr>
      <w:tr>
        <w:trPr>
          <w:trHeight w:val="309" w:hRule="atLeast"/>
        </w:trPr>
        <w:tc>
          <w:tcPr>
            <w:tcW w:w="4606" w:type="dxa"/>
          </w:tcPr>
          <w:p>
            <w:pPr>
              <w:pStyle w:val="TableParagraph"/>
              <w:rPr>
                <w:sz w:val="16"/>
              </w:rPr>
            </w:pPr>
            <w:r>
              <w:rPr>
                <w:sz w:val="20"/>
              </w:rPr>
              <w:t>Volume loss </w:t>
            </w:r>
            <w:r>
              <w:rPr>
                <w:sz w:val="16"/>
              </w:rPr>
              <w:t>(DIN EN ISO 10563)</w:t>
            </w:r>
          </w:p>
        </w:tc>
        <w:tc>
          <w:tcPr>
            <w:tcW w:w="4606" w:type="dxa"/>
          </w:tcPr>
          <w:p>
            <w:pPr>
              <w:pStyle w:val="TableParagraph"/>
              <w:rPr>
                <w:sz w:val="20"/>
              </w:rPr>
            </w:pPr>
            <w:r>
              <w:rPr>
                <w:sz w:val="20"/>
              </w:rPr>
              <w:t>max. 4 %</w:t>
            </w:r>
          </w:p>
        </w:tc>
      </w:tr>
      <w:tr>
        <w:trPr>
          <w:trHeight w:val="311" w:hRule="atLeast"/>
        </w:trPr>
        <w:tc>
          <w:tcPr>
            <w:tcW w:w="4606" w:type="dxa"/>
            <w:shd w:val="clear" w:color="auto" w:fill="E5E5E5"/>
          </w:tcPr>
          <w:p>
            <w:pPr>
              <w:pStyle w:val="TableParagraph"/>
              <w:rPr>
                <w:sz w:val="16"/>
              </w:rPr>
            </w:pPr>
            <w:r>
              <w:rPr>
                <w:sz w:val="20"/>
              </w:rPr>
              <w:t>Application temperature </w:t>
            </w:r>
            <w:r>
              <w:rPr>
                <w:sz w:val="16"/>
              </w:rPr>
              <w:t>(sealant &amp; substrate)</w:t>
            </w:r>
          </w:p>
        </w:tc>
        <w:tc>
          <w:tcPr>
            <w:tcW w:w="4606" w:type="dxa"/>
            <w:shd w:val="clear" w:color="auto" w:fill="E5E5E5"/>
          </w:tcPr>
          <w:p>
            <w:pPr>
              <w:pStyle w:val="TableParagraph"/>
              <w:rPr>
                <w:sz w:val="20"/>
              </w:rPr>
            </w:pPr>
            <w:r>
              <w:rPr>
                <w:sz w:val="20"/>
              </w:rPr>
              <w:t>+5 to +35°C</w:t>
            </w:r>
          </w:p>
        </w:tc>
      </w:tr>
      <w:tr>
        <w:trPr>
          <w:trHeight w:val="309" w:hRule="atLeast"/>
        </w:trPr>
        <w:tc>
          <w:tcPr>
            <w:tcW w:w="4606" w:type="dxa"/>
          </w:tcPr>
          <w:p>
            <w:pPr>
              <w:pStyle w:val="TableParagraph"/>
              <w:rPr>
                <w:sz w:val="16"/>
              </w:rPr>
            </w:pPr>
            <w:r>
              <w:rPr>
                <w:sz w:val="20"/>
              </w:rPr>
              <w:t>Temperature stability range </w:t>
            </w:r>
            <w:r>
              <w:rPr>
                <w:sz w:val="16"/>
              </w:rPr>
              <w:t>(fully cured sealant)</w:t>
            </w:r>
          </w:p>
        </w:tc>
        <w:tc>
          <w:tcPr>
            <w:tcW w:w="4606" w:type="dxa"/>
          </w:tcPr>
          <w:p>
            <w:pPr>
              <w:pStyle w:val="TableParagraph"/>
              <w:rPr>
                <w:sz w:val="20"/>
              </w:rPr>
            </w:pPr>
            <w:r>
              <w:rPr>
                <w:sz w:val="20"/>
              </w:rPr>
              <w:t>-40 to +150°C</w:t>
            </w:r>
          </w:p>
        </w:tc>
      </w:tr>
      <w:tr>
        <w:trPr>
          <w:trHeight w:val="309" w:hRule="atLeast"/>
        </w:trPr>
        <w:tc>
          <w:tcPr>
            <w:tcW w:w="4606" w:type="dxa"/>
            <w:shd w:val="clear" w:color="auto" w:fill="E5E5E5"/>
          </w:tcPr>
          <w:p>
            <w:pPr>
              <w:pStyle w:val="TableParagraph"/>
              <w:rPr>
                <w:sz w:val="16"/>
              </w:rPr>
            </w:pPr>
            <w:r>
              <w:rPr>
                <w:sz w:val="20"/>
              </w:rPr>
              <w:t>Shelf life </w:t>
            </w:r>
            <w:r>
              <w:rPr>
                <w:sz w:val="16"/>
              </w:rPr>
              <w:t>(originally closed packages)</w:t>
            </w:r>
          </w:p>
        </w:tc>
        <w:tc>
          <w:tcPr>
            <w:tcW w:w="4606" w:type="dxa"/>
            <w:shd w:val="clear" w:color="auto" w:fill="E5E5E5"/>
          </w:tcPr>
          <w:p>
            <w:pPr>
              <w:pStyle w:val="TableParagraph"/>
              <w:rPr>
                <w:sz w:val="20"/>
              </w:rPr>
            </w:pPr>
            <w:r>
              <w:rPr>
                <w:sz w:val="20"/>
              </w:rPr>
              <w:t>18 months (+5 to +35°C, 50% r.H.)</w:t>
            </w:r>
          </w:p>
        </w:tc>
      </w:tr>
    </w:tbl>
    <w:p>
      <w:pPr>
        <w:pStyle w:val="BodyText"/>
        <w:rPr>
          <w:b/>
          <w:sz w:val="20"/>
        </w:rPr>
      </w:pPr>
    </w:p>
    <w:p>
      <w:pPr>
        <w:pStyle w:val="BodyText"/>
        <w:rPr>
          <w:b/>
          <w:sz w:val="20"/>
        </w:rPr>
      </w:pPr>
    </w:p>
    <w:p>
      <w:pPr>
        <w:pStyle w:val="BodyText"/>
        <w:rPr>
          <w:b/>
          <w:sz w:val="23"/>
        </w:rPr>
      </w:pPr>
    </w:p>
    <w:p>
      <w:pPr>
        <w:spacing w:before="93"/>
        <w:ind w:left="218" w:right="149" w:firstLine="0"/>
        <w:jc w:val="both"/>
        <w:rPr>
          <w:sz w:val="20"/>
        </w:rPr>
      </w:pPr>
      <w:r>
        <w:rPr>
          <w:sz w:val="20"/>
        </w:rPr>
        <w:t>Rate of curing depends on temperature, humidity and depth of substrate. The data given refer to tests at standard conditions (23°C / 50% rel. humidity). Under these conditions, a 10 x 10 mm joint will cure in 8 to 14 days. Low temperature, low humidity and joint depth above 15 mm will retard skin formation and curing significantly.</w:t>
      </w:r>
    </w:p>
    <w:p>
      <w:pPr>
        <w:spacing w:before="120"/>
        <w:ind w:left="218" w:right="151" w:firstLine="0"/>
        <w:jc w:val="both"/>
        <w:rPr>
          <w:sz w:val="20"/>
        </w:rPr>
      </w:pPr>
      <w:r>
        <w:rPr>
          <w:sz w:val="20"/>
        </w:rPr>
        <w:t>Data given were determined shortly after production, and may slightly vary with increasing age of product and for different colours. They are not meant for specification purposes.</w:t>
      </w:r>
    </w:p>
    <w:p>
      <w:pPr>
        <w:pStyle w:val="BodyText"/>
      </w:pPr>
    </w:p>
    <w:p>
      <w:pPr>
        <w:pStyle w:val="BodyText"/>
      </w:pPr>
    </w:p>
    <w:p>
      <w:pPr>
        <w:pStyle w:val="BodyText"/>
        <w:spacing w:before="9"/>
        <w:rPr>
          <w:sz w:val="21"/>
        </w:rPr>
      </w:pPr>
    </w:p>
    <w:p>
      <w:pPr>
        <w:spacing w:line="242" w:lineRule="auto" w:before="0"/>
        <w:ind w:left="218" w:right="506" w:firstLine="0"/>
        <w:jc w:val="both"/>
        <w:rPr>
          <w:i/>
          <w:sz w:val="16"/>
        </w:rPr>
      </w:pPr>
      <w:r>
        <w:rPr>
          <w:b/>
          <w:sz w:val="22"/>
        </w:rPr>
        <w:t>For</w:t>
      </w:r>
      <w:r>
        <w:rPr>
          <w:b/>
          <w:spacing w:val="-2"/>
          <w:sz w:val="22"/>
        </w:rPr>
        <w:t> </w:t>
      </w:r>
      <w:r>
        <w:rPr>
          <w:b/>
          <w:sz w:val="22"/>
        </w:rPr>
        <w:t>safety</w:t>
      </w:r>
      <w:r>
        <w:rPr>
          <w:b/>
          <w:spacing w:val="-7"/>
          <w:sz w:val="22"/>
        </w:rPr>
        <w:t> </w:t>
      </w:r>
      <w:r>
        <w:rPr>
          <w:b/>
          <w:sz w:val="22"/>
        </w:rPr>
        <w:t>data, see</w:t>
      </w:r>
      <w:r>
        <w:rPr>
          <w:b/>
          <w:spacing w:val="-5"/>
          <w:sz w:val="22"/>
        </w:rPr>
        <w:t> </w:t>
      </w:r>
      <w:r>
        <w:rPr>
          <w:b/>
          <w:sz w:val="22"/>
        </w:rPr>
        <w:t>Safety</w:t>
      </w:r>
      <w:r>
        <w:rPr>
          <w:b/>
          <w:spacing w:val="-6"/>
          <w:sz w:val="22"/>
        </w:rPr>
        <w:t> </w:t>
      </w:r>
      <w:r>
        <w:rPr>
          <w:b/>
          <w:sz w:val="22"/>
        </w:rPr>
        <w:t>Data</w:t>
      </w:r>
      <w:r>
        <w:rPr>
          <w:b/>
          <w:spacing w:val="-3"/>
          <w:sz w:val="22"/>
        </w:rPr>
        <w:t> </w:t>
      </w:r>
      <w:r>
        <w:rPr>
          <w:b/>
          <w:sz w:val="22"/>
        </w:rPr>
        <w:t>Sheet</w:t>
      </w:r>
      <w:r>
        <w:rPr>
          <w:b/>
          <w:spacing w:val="-17"/>
          <w:sz w:val="22"/>
        </w:rPr>
        <w:t> </w:t>
      </w:r>
      <w:r>
        <w:rPr>
          <w:i/>
          <w:sz w:val="16"/>
        </w:rPr>
        <w:t>Take</w:t>
      </w:r>
      <w:r>
        <w:rPr>
          <w:i/>
          <w:spacing w:val="-2"/>
          <w:sz w:val="16"/>
        </w:rPr>
        <w:t> </w:t>
      </w:r>
      <w:r>
        <w:rPr>
          <w:i/>
          <w:sz w:val="16"/>
        </w:rPr>
        <w:t>all</w:t>
      </w:r>
      <w:r>
        <w:rPr>
          <w:i/>
          <w:spacing w:val="-1"/>
          <w:sz w:val="16"/>
        </w:rPr>
        <w:t> </w:t>
      </w:r>
      <w:r>
        <w:rPr>
          <w:i/>
          <w:sz w:val="16"/>
        </w:rPr>
        <w:t>measures resulting</w:t>
      </w:r>
      <w:r>
        <w:rPr>
          <w:i/>
          <w:spacing w:val="-3"/>
          <w:sz w:val="16"/>
        </w:rPr>
        <w:t> </w:t>
      </w:r>
      <w:r>
        <w:rPr>
          <w:i/>
          <w:sz w:val="16"/>
        </w:rPr>
        <w:t>from</w:t>
      </w:r>
      <w:r>
        <w:rPr>
          <w:i/>
          <w:spacing w:val="-3"/>
          <w:sz w:val="16"/>
        </w:rPr>
        <w:t> </w:t>
      </w:r>
      <w:r>
        <w:rPr>
          <w:i/>
          <w:sz w:val="16"/>
        </w:rPr>
        <w:t>the</w:t>
      </w:r>
      <w:r>
        <w:rPr>
          <w:i/>
          <w:spacing w:val="-4"/>
          <w:sz w:val="16"/>
        </w:rPr>
        <w:t> </w:t>
      </w:r>
      <w:r>
        <w:rPr>
          <w:i/>
          <w:sz w:val="16"/>
        </w:rPr>
        <w:t>safety data</w:t>
      </w:r>
      <w:r>
        <w:rPr>
          <w:i/>
          <w:spacing w:val="-2"/>
          <w:sz w:val="16"/>
        </w:rPr>
        <w:t> </w:t>
      </w:r>
      <w:r>
        <w:rPr>
          <w:i/>
          <w:sz w:val="16"/>
        </w:rPr>
        <w:t>sheet and</w:t>
      </w:r>
      <w:r>
        <w:rPr>
          <w:i/>
          <w:spacing w:val="-2"/>
          <w:sz w:val="16"/>
        </w:rPr>
        <w:t> </w:t>
      </w:r>
      <w:r>
        <w:rPr>
          <w:i/>
          <w:sz w:val="16"/>
        </w:rPr>
        <w:t>hazard </w:t>
      </w:r>
      <w:r>
        <w:rPr>
          <w:i/>
          <w:sz w:val="16"/>
        </w:rPr>
        <w:t>markings to prevent accidents and protect health.</w:t>
      </w: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BodyText"/>
        <w:spacing w:before="3"/>
        <w:rPr>
          <w:i/>
          <w:sz w:val="26"/>
        </w:rPr>
      </w:pPr>
    </w:p>
    <w:p>
      <w:pPr>
        <w:spacing w:before="1"/>
        <w:ind w:left="218" w:right="145" w:firstLine="0"/>
        <w:jc w:val="both"/>
        <w:rPr>
          <w:i/>
          <w:sz w:val="16"/>
        </w:rPr>
      </w:pPr>
      <w:r>
        <w:rPr>
          <w:i/>
          <w:sz w:val="16"/>
        </w:rPr>
        <w:t>Information given in this data sheet is based on the current state of knowledge. This does not exempt the purchaser from </w:t>
      </w:r>
      <w:r>
        <w:rPr>
          <w:i/>
          <w:sz w:val="16"/>
        </w:rPr>
        <w:t>carrying out his own careful inspections of incoming goods in individual cases. We reserve the right to make changes to the product data in the course of technical progress or due to operationally related further development. Owing to factors beyond our control during application, recommendations given in this data sheet require tests and experiments by the customer. Our recommendations do not exempt the customer from the obligation to check any infringements of third-party rights himself and eliminate them if necessary. The suggestions for product use are not equivalent to a warranty of its suitability for the recommended</w:t>
      </w:r>
      <w:r>
        <w:rPr>
          <w:i/>
          <w:spacing w:val="-1"/>
          <w:sz w:val="16"/>
        </w:rPr>
        <w:t> </w:t>
      </w:r>
      <w:r>
        <w:rPr>
          <w:i/>
          <w:sz w:val="16"/>
        </w:rPr>
        <w:t>purpose.</w:t>
      </w:r>
    </w:p>
    <w:p>
      <w:pPr>
        <w:spacing w:before="118"/>
        <w:ind w:left="218" w:right="0" w:firstLine="0"/>
        <w:jc w:val="both"/>
        <w:rPr>
          <w:i/>
          <w:sz w:val="16"/>
        </w:rPr>
      </w:pPr>
      <w:r>
        <w:rPr>
          <w:i/>
          <w:sz w:val="16"/>
        </w:rPr>
        <w:t>Each new release of this data sheet supersedes the previous one.</w:t>
      </w:r>
    </w:p>
    <w:p>
      <w:pPr>
        <w:pStyle w:val="BodyText"/>
        <w:rPr>
          <w:i/>
          <w:sz w:val="20"/>
        </w:rPr>
      </w:pPr>
    </w:p>
    <w:p>
      <w:pPr>
        <w:pStyle w:val="BodyText"/>
        <w:spacing w:before="4"/>
        <w:rPr>
          <w:i/>
          <w:sz w:val="19"/>
        </w:rPr>
      </w:pPr>
    </w:p>
    <w:p>
      <w:pPr>
        <w:spacing w:after="0"/>
        <w:rPr>
          <w:sz w:val="19"/>
        </w:rPr>
        <w:sectPr>
          <w:pgSz w:w="11900" w:h="16840"/>
          <w:pgMar w:header="0" w:footer="769" w:top="1300" w:bottom="960" w:left="1200" w:right="1260"/>
        </w:sectPr>
      </w:pPr>
    </w:p>
    <w:p>
      <w:pPr>
        <w:spacing w:before="96"/>
        <w:ind w:left="1459" w:right="-17" w:firstLine="0"/>
        <w:jc w:val="left"/>
        <w:rPr>
          <w:sz w:val="16"/>
        </w:rPr>
      </w:pPr>
      <w:r>
        <w:rPr/>
        <w:pict>
          <v:group style="position:absolute;margin-left:65.520004pt;margin-top:-1.034994pt;width:465.75pt;height:41.7pt;mso-position-horizontal-relative:page;mso-position-vertical-relative:paragraph;z-index:-251899904" coordorigin="1310,-21" coordsize="9315,834">
            <v:line style="position:absolute" from="1310,796" to="2551,796" stroked="true" strokeweight="1.7pt" strokecolor="#e6e6e6">
              <v:stroke dashstyle="solid"/>
            </v:line>
            <v:line style="position:absolute" from="1364,-21" to="1364,779" stroked="true" strokeweight="5.399996pt" strokecolor="#e6e6e6">
              <v:stroke dashstyle="solid"/>
            </v:line>
            <v:line style="position:absolute" from="2497,-20" to="2497,779" stroked="true" strokeweight="5.4pt" strokecolor="#e6e6e6">
              <v:stroke dashstyle="solid"/>
            </v:line>
            <v:shape style="position:absolute;left:1418;top:-21;width:1025;height:800" type="#_x0000_t75" stroked="false">
              <v:imagedata r:id="rId7" o:title=""/>
            </v:shape>
            <v:rect style="position:absolute;left:2551;top:469;width:3545;height:344" filled="true" fillcolor="#e6e6e6" stroked="false">
              <v:fill type="solid"/>
            </v:rect>
            <v:line style="position:absolute" from="2605,-21" to="2605,469" stroked="true" strokeweight="5.399992pt" strokecolor="#e6e6e6">
              <v:stroke dashstyle="solid"/>
            </v:line>
            <v:line style="position:absolute" from="6042,-20" to="6042,469" stroked="true" strokeweight="5.4pt" strokecolor="#e6e6e6">
              <v:stroke dashstyle="solid"/>
            </v:line>
            <v:shape style="position:absolute;left:2659;top:-21;width:5652;height:834" coordorigin="2659,-20" coordsize="5652,834" path="m5988,-20l2659,-20,2659,284,2659,469,5988,469,5988,284,5988,-20m8311,651l6096,651,6096,813,8311,813,8311,651e" filled="true" fillcolor="#e6e6e6" stroked="false">
              <v:path arrowok="t"/>
              <v:fill type="solid"/>
            </v:shape>
            <v:line style="position:absolute" from="6150,-21" to="6150,651" stroked="true" strokeweight="5.399981pt" strokecolor="#e6e6e6">
              <v:stroke dashstyle="solid"/>
            </v:line>
            <v:rect style="position:absolute;left:8203;top:-21;width:108;height:672" filled="true" fillcolor="#e6e6e6" stroked="false">
              <v:fill type="solid"/>
            </v:rect>
            <v:shape style="position:absolute;left:6204;top:-21;width:2000;height:490" coordorigin="6204,-20" coordsize="2000,490" path="m8203,-20l6204,-20,6204,284,6204,469,8203,469,8203,284,8203,-20e" filled="true" fillcolor="#e6e6e6" stroked="false">
              <v:path arrowok="t"/>
              <v:fill type="solid"/>
            </v:shape>
            <v:line style="position:absolute" from="7142,282" to="7142,467" stroked="true" strokeweight="4.08pt" strokecolor="#e6e6e6">
              <v:stroke dashstyle="solid"/>
            </v:line>
            <v:shape style="position:absolute;left:6204;top:469;width:4421;height:344" coordorigin="6204,469" coordsize="4421,344" path="m8203,469l6204,469,6204,652,8203,652,8203,469m10625,651l8311,651,8311,813,10625,813,10625,651e" filled="true" fillcolor="#e6e6e6" stroked="false">
              <v:path arrowok="t"/>
              <v:fill type="solid"/>
            </v:shape>
            <v:rect style="position:absolute;left:8311;top:-21;width:108;height:672" filled="true" fillcolor="#e6e6e6" stroked="false">
              <v:fill type="solid"/>
            </v:rect>
            <v:line style="position:absolute" from="10571,-20" to="10571,652" stroked="true" strokeweight="5.4pt" strokecolor="#e6e6e6">
              <v:stroke dashstyle="solid"/>
            </v:line>
            <v:shape style="position:absolute;left:8419;top:-21;width:2098;height:672" coordorigin="8419,-20" coordsize="2098,672" path="m10517,-20l8419,-20,8419,284,8419,469,8419,652,10517,652,10517,469,10517,284,10517,-20e" filled="true" fillcolor="#e6e6e6" stroked="false">
              <v:path arrowok="t"/>
              <v:fill type="solid"/>
            </v:shape>
            <w10:wrap type="none"/>
          </v:group>
        </w:pict>
      </w:r>
      <w:r>
        <w:rPr>
          <w:sz w:val="16"/>
        </w:rPr>
        <w:t>FS-Kunststofftechnologie GmbH &amp; Co. KG Division EVT Sealants</w:t>
      </w:r>
    </w:p>
    <w:p>
      <w:pPr>
        <w:spacing w:before="96"/>
        <w:ind w:left="487" w:right="0" w:firstLine="0"/>
        <w:jc w:val="both"/>
        <w:rPr>
          <w:sz w:val="16"/>
        </w:rPr>
      </w:pPr>
      <w:r>
        <w:rPr/>
        <w:br w:type="column"/>
      </w:r>
      <w:r>
        <w:rPr>
          <w:sz w:val="16"/>
        </w:rPr>
        <w:t>Hahnenseifener Straße 15 D-51580 Reichshof / Hahn Germany</w:t>
      </w:r>
    </w:p>
    <w:p>
      <w:pPr>
        <w:spacing w:before="96"/>
        <w:ind w:left="287" w:right="0" w:firstLine="0"/>
        <w:jc w:val="left"/>
        <w:rPr>
          <w:sz w:val="16"/>
        </w:rPr>
      </w:pPr>
      <w:r>
        <w:rPr/>
        <w:br w:type="column"/>
      </w:r>
      <w:r>
        <w:rPr>
          <w:sz w:val="16"/>
        </w:rPr>
        <w:t>Phone: +49-2297-9103-0</w:t>
      </w:r>
    </w:p>
    <w:p>
      <w:pPr>
        <w:tabs>
          <w:tab w:pos="887" w:val="left" w:leader="none"/>
        </w:tabs>
        <w:spacing w:before="0"/>
        <w:ind w:left="287" w:right="0" w:firstLine="0"/>
        <w:jc w:val="left"/>
        <w:rPr>
          <w:sz w:val="16"/>
        </w:rPr>
      </w:pPr>
      <w:r>
        <w:rPr>
          <w:sz w:val="16"/>
        </w:rPr>
        <w:t>Fax:</w:t>
        <w:tab/>
        <w:t>+49-2297-1826</w:t>
      </w:r>
    </w:p>
    <w:p>
      <w:pPr>
        <w:spacing w:before="1"/>
        <w:ind w:left="287" w:right="0" w:firstLine="0"/>
        <w:jc w:val="left"/>
        <w:rPr>
          <w:sz w:val="16"/>
        </w:rPr>
      </w:pPr>
      <w:r>
        <w:rPr>
          <w:sz w:val="16"/>
        </w:rPr>
        <w:t>Email: </w:t>
      </w:r>
      <w:hyperlink r:id="rId8">
        <w:r>
          <w:rPr>
            <w:sz w:val="16"/>
          </w:rPr>
          <w:t>fs@fs-kunststoff.com</w:t>
        </w:r>
      </w:hyperlink>
    </w:p>
    <w:sectPr>
      <w:type w:val="continuous"/>
      <w:pgSz w:w="11900" w:h="16840"/>
      <w:pgMar w:top="540" w:bottom="960" w:left="1200" w:right="1260"/>
      <w:cols w:num="3" w:equalWidth="0">
        <w:col w:w="4477" w:space="40"/>
        <w:col w:w="2375" w:space="39"/>
        <w:col w:w="250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279999pt;margin-top:793.559387pt;width:464.8pt;height:12.4pt;mso-position-horizontal-relative:page;mso-position-vertical-relative:page;z-index:-251900928" coordorigin="1306,15871" coordsize="9296,248" path="m1310,15876l10596,15876m1310,16114l10596,16114m1306,15871l1306,16118m10601,15871l10601,16118e" filled="false" stroked="true" strokeweight=".48pt" strokecolor="#000000">
          <v:path arrowok="t"/>
          <v:stroke dashstyle="solid"/>
          <w10:wrap type="none"/>
        </v:shape>
      </w:pict>
    </w:r>
    <w:r>
      <w:rPr/>
      <w:pict>
        <v:shapetype id="_x0000_t202" o:spt="202" coordsize="21600,21600" path="m,l,21600r21600,l21600,xe">
          <v:stroke joinstyle="miter"/>
          <v:path gradientshapeok="t" o:connecttype="rect"/>
        </v:shapetype>
        <v:shape style="position:absolute;margin-left:69.920059pt;margin-top:793.29187pt;width:117.65pt;height:12.1pt;mso-position-horizontal-relative:page;mso-position-vertical-relative:page;z-index:-251899904" type="#_x0000_t202" filled="false" stroked="false">
          <v:textbox inset="0,0,0,0">
            <w:txbxContent>
              <w:p>
                <w:pPr>
                  <w:spacing w:before="14"/>
                  <w:ind w:left="20" w:right="0" w:firstLine="0"/>
                  <w:jc w:val="left"/>
                  <w:rPr>
                    <w:sz w:val="18"/>
                  </w:rPr>
                </w:pPr>
                <w:r>
                  <w:rPr>
                    <w:sz w:val="18"/>
                  </w:rPr>
                  <w:t>Release 03 - May 21, 2012</w:t>
                </w:r>
              </w:p>
            </w:txbxContent>
          </v:textbox>
          <w10:wrap type="none"/>
        </v:shape>
      </w:pict>
    </w:r>
    <w:r>
      <w:rPr/>
      <w:pict>
        <v:shape style="position:absolute;margin-left:471.076141pt;margin-top:793.29187pt;width:54.55pt;height:12.1pt;mso-position-horizontal-relative:page;mso-position-vertical-relative:page;z-index:-251898880" type="#_x0000_t202" filled="false" stroked="false">
          <v:textbox inset="0,0,0,0">
            <w:txbxContent>
              <w:p>
                <w:pPr>
                  <w:spacing w:before="14"/>
                  <w:ind w:left="20" w:right="0" w:firstLine="0"/>
                  <w:jc w:val="left"/>
                  <w:rPr>
                    <w:sz w:val="18"/>
                  </w:rPr>
                </w:pPr>
                <w:r>
                  <w:rPr>
                    <w:sz w:val="18"/>
                  </w:rPr>
                  <w:t>Seite </w:t>
                </w:r>
                <w:r>
                  <w:rPr/>
                  <w:fldChar w:fldCharType="begin"/>
                </w:r>
                <w:r>
                  <w:rPr>
                    <w:sz w:val="18"/>
                  </w:rPr>
                  <w:instrText> PAGE </w:instrText>
                </w:r>
                <w:r>
                  <w:rPr/>
                  <w:fldChar w:fldCharType="separate"/>
                </w:r>
                <w:r>
                  <w:rPr/>
                  <w:t>1</w:t>
                </w:r>
                <w:r>
                  <w:rPr/>
                  <w:fldChar w:fldCharType="end"/>
                </w:r>
                <w:r>
                  <w:rPr>
                    <w:sz w:val="18"/>
                  </w:rPr>
                  <w:t> von 3</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388" w:hanging="171"/>
      </w:pPr>
      <w:rPr>
        <w:rFonts w:hint="default" w:ascii="Symbol" w:hAnsi="Symbol" w:eastAsia="Symbol" w:cs="Symbol"/>
        <w:w w:val="100"/>
        <w:sz w:val="22"/>
        <w:szCs w:val="22"/>
        <w:lang w:val="en-US" w:eastAsia="en-US" w:bidi="en-US"/>
      </w:rPr>
    </w:lvl>
    <w:lvl w:ilvl="1">
      <w:start w:val="0"/>
      <w:numFmt w:val="bullet"/>
      <w:lvlText w:val="•"/>
      <w:lvlJc w:val="left"/>
      <w:pPr>
        <w:ind w:left="1286" w:hanging="171"/>
      </w:pPr>
      <w:rPr>
        <w:rFonts w:hint="default"/>
        <w:lang w:val="en-US" w:eastAsia="en-US" w:bidi="en-US"/>
      </w:rPr>
    </w:lvl>
    <w:lvl w:ilvl="2">
      <w:start w:val="0"/>
      <w:numFmt w:val="bullet"/>
      <w:lvlText w:val="•"/>
      <w:lvlJc w:val="left"/>
      <w:pPr>
        <w:ind w:left="2192" w:hanging="171"/>
      </w:pPr>
      <w:rPr>
        <w:rFonts w:hint="default"/>
        <w:lang w:val="en-US" w:eastAsia="en-US" w:bidi="en-US"/>
      </w:rPr>
    </w:lvl>
    <w:lvl w:ilvl="3">
      <w:start w:val="0"/>
      <w:numFmt w:val="bullet"/>
      <w:lvlText w:val="•"/>
      <w:lvlJc w:val="left"/>
      <w:pPr>
        <w:ind w:left="3098" w:hanging="171"/>
      </w:pPr>
      <w:rPr>
        <w:rFonts w:hint="default"/>
        <w:lang w:val="en-US" w:eastAsia="en-US" w:bidi="en-US"/>
      </w:rPr>
    </w:lvl>
    <w:lvl w:ilvl="4">
      <w:start w:val="0"/>
      <w:numFmt w:val="bullet"/>
      <w:lvlText w:val="•"/>
      <w:lvlJc w:val="left"/>
      <w:pPr>
        <w:ind w:left="4004" w:hanging="171"/>
      </w:pPr>
      <w:rPr>
        <w:rFonts w:hint="default"/>
        <w:lang w:val="en-US" w:eastAsia="en-US" w:bidi="en-US"/>
      </w:rPr>
    </w:lvl>
    <w:lvl w:ilvl="5">
      <w:start w:val="0"/>
      <w:numFmt w:val="bullet"/>
      <w:lvlText w:val="•"/>
      <w:lvlJc w:val="left"/>
      <w:pPr>
        <w:ind w:left="4910" w:hanging="171"/>
      </w:pPr>
      <w:rPr>
        <w:rFonts w:hint="default"/>
        <w:lang w:val="en-US" w:eastAsia="en-US" w:bidi="en-US"/>
      </w:rPr>
    </w:lvl>
    <w:lvl w:ilvl="6">
      <w:start w:val="0"/>
      <w:numFmt w:val="bullet"/>
      <w:lvlText w:val="•"/>
      <w:lvlJc w:val="left"/>
      <w:pPr>
        <w:ind w:left="5816" w:hanging="171"/>
      </w:pPr>
      <w:rPr>
        <w:rFonts w:hint="default"/>
        <w:lang w:val="en-US" w:eastAsia="en-US" w:bidi="en-US"/>
      </w:rPr>
    </w:lvl>
    <w:lvl w:ilvl="7">
      <w:start w:val="0"/>
      <w:numFmt w:val="bullet"/>
      <w:lvlText w:val="•"/>
      <w:lvlJc w:val="left"/>
      <w:pPr>
        <w:ind w:left="6722" w:hanging="171"/>
      </w:pPr>
      <w:rPr>
        <w:rFonts w:hint="default"/>
        <w:lang w:val="en-US" w:eastAsia="en-US" w:bidi="en-US"/>
      </w:rPr>
    </w:lvl>
    <w:lvl w:ilvl="8">
      <w:start w:val="0"/>
      <w:numFmt w:val="bullet"/>
      <w:lvlText w:val="•"/>
      <w:lvlJc w:val="left"/>
      <w:pPr>
        <w:ind w:left="7628" w:hanging="17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2"/>
      <w:szCs w:val="22"/>
      <w:lang w:val="en-US" w:eastAsia="en-US" w:bidi="en-US"/>
    </w:rPr>
  </w:style>
  <w:style w:styleId="Heading1" w:type="paragraph">
    <w:name w:val="Heading 1"/>
    <w:basedOn w:val="Normal"/>
    <w:uiPriority w:val="1"/>
    <w:qFormat/>
    <w:pPr>
      <w:ind w:left="218"/>
      <w:outlineLvl w:val="1"/>
    </w:pPr>
    <w:rPr>
      <w:rFonts w:ascii="Arial" w:hAnsi="Arial" w:eastAsia="Arial" w:cs="Arial"/>
      <w:b/>
      <w:bCs/>
      <w:sz w:val="22"/>
      <w:szCs w:val="22"/>
      <w:u w:val="single" w:color="000000"/>
      <w:lang w:val="en-US" w:eastAsia="en-US" w:bidi="en-US"/>
    </w:rPr>
  </w:style>
  <w:style w:styleId="Title" w:type="paragraph">
    <w:name w:val="Title"/>
    <w:basedOn w:val="Normal"/>
    <w:uiPriority w:val="1"/>
    <w:qFormat/>
    <w:pPr>
      <w:spacing w:before="187"/>
      <w:ind w:left="926"/>
    </w:pPr>
    <w:rPr>
      <w:rFonts w:ascii="Arial" w:hAnsi="Arial" w:eastAsia="Arial" w:cs="Arial"/>
      <w:b/>
      <w:bCs/>
      <w:i/>
      <w:sz w:val="36"/>
      <w:szCs w:val="36"/>
      <w:lang w:val="en-US" w:eastAsia="en-US" w:bidi="en-US"/>
    </w:rPr>
  </w:style>
  <w:style w:styleId="ListParagraph" w:type="paragraph">
    <w:name w:val="List Paragraph"/>
    <w:basedOn w:val="Normal"/>
    <w:uiPriority w:val="1"/>
    <w:qFormat/>
    <w:pPr>
      <w:spacing w:before="117"/>
      <w:ind w:left="388" w:hanging="171"/>
    </w:pPr>
    <w:rPr>
      <w:rFonts w:ascii="Arial" w:hAnsi="Arial" w:eastAsia="Arial" w:cs="Arial"/>
      <w:lang w:val="en-US" w:eastAsia="en-US" w:bidi="en-US"/>
    </w:rPr>
  </w:style>
  <w:style w:styleId="TableParagraph" w:type="paragraph">
    <w:name w:val="Table Paragraph"/>
    <w:basedOn w:val="Normal"/>
    <w:uiPriority w:val="1"/>
    <w:qFormat/>
    <w:pPr>
      <w:spacing w:before="38"/>
      <w:ind w:left="107"/>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fs@fs-kunststoff.com"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edgar.draber</dc:creator>
  <dc:title>EVT Natural Stone HPM R03</dc:title>
  <dcterms:created xsi:type="dcterms:W3CDTF">2020-08-27T05:22:25Z</dcterms:created>
  <dcterms:modified xsi:type="dcterms:W3CDTF">2020-08-27T05:22:25Z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2012-05-21T00:00:00Z</vt:filetime>
  </property>
  <property fmtid="{D5CDD505-2E9C-101B-9397-08002B2CF9AE}" pid="3" name="Creator">
    <vt:lpwstr>PDFCreator Version 1.2.0</vt:lpwstr>
  </property>
  <property fmtid="{D5CDD505-2E9C-101B-9397-08002B2CF9AE}" pid="4" name="LastSaved">
    <vt:filetime>2020-08-27T00:00:00Z</vt:filetime>
  </property>
</Properties>
</file>